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u w:val="single"/>
        </w:rPr>
        <w:t>Readings and videos (post class)</w:t>
      </w:r>
      <w:r>
        <w:rPr>
          <w:rStyle w:val="Strong"/>
          <w:rFonts w:ascii="Helvetica Neue" w:hAnsi="Helvetica Neue"/>
          <w:color w:val="2D3B45"/>
        </w:rPr>
        <w:t>:</w:t>
      </w:r>
      <w:r>
        <w:rPr>
          <w:rFonts w:ascii="Helvetica Neue" w:hAnsi="Helvetica Neue"/>
          <w:color w:val="2D3B45"/>
        </w:rPr>
        <w:t>  </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Ch 7-8 in </w:t>
      </w:r>
      <w:proofErr w:type="spellStart"/>
      <w:r>
        <w:rPr>
          <w:rFonts w:ascii="Helvetica Neue" w:hAnsi="Helvetica Neue"/>
          <w:color w:val="2D3B45"/>
        </w:rPr>
        <w:t>Requejo</w:t>
      </w:r>
      <w:proofErr w:type="spellEnd"/>
      <w:r>
        <w:rPr>
          <w:rFonts w:ascii="Helvetica Neue" w:hAnsi="Helvetica Neue"/>
          <w:color w:val="2D3B45"/>
        </w:rPr>
        <w:t>, W. Hernández and J. L. Graham  </w:t>
      </w:r>
      <w:r>
        <w:rPr>
          <w:rFonts w:ascii="Helvetica Neue" w:hAnsi="Helvetica Neue"/>
          <w:color w:val="2D3B45"/>
          <w:u w:val="single"/>
        </w:rPr>
        <w:t>Global Negotiation:  The New Rules</w:t>
      </w:r>
      <w:r>
        <w:rPr>
          <w:rFonts w:ascii="Helvetica Neue" w:hAnsi="Helvetica Neue"/>
          <w:color w:val="2D3B45"/>
        </w:rPr>
        <w:t>.  Palgrave MacMillan. March 4, 2008</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Sebenius, J. "The Hidden Challenge of Cross-Border Negotiations." </w:t>
      </w:r>
      <w:r>
        <w:rPr>
          <w:rStyle w:val="Emphasis"/>
          <w:rFonts w:ascii="Helvetica Neue" w:hAnsi="Helvetica Neue"/>
          <w:color w:val="2D3B45"/>
        </w:rPr>
        <w:t>Harvard Business Review</w:t>
      </w:r>
      <w:r>
        <w:rPr>
          <w:rFonts w:ascii="Helvetica Neue" w:hAnsi="Helvetica Neue"/>
          <w:color w:val="2D3B45"/>
        </w:rPr>
        <w:t>, March 2002</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Nadler, J. and D. </w:t>
      </w:r>
      <w:proofErr w:type="spellStart"/>
      <w:r>
        <w:rPr>
          <w:rFonts w:ascii="Helvetica Neue" w:hAnsi="Helvetica Neue"/>
          <w:color w:val="2D3B45"/>
        </w:rPr>
        <w:t>Shestowsky</w:t>
      </w:r>
      <w:proofErr w:type="spellEnd"/>
      <w:r>
        <w:rPr>
          <w:rFonts w:ascii="Helvetica Neue" w:hAnsi="Helvetica Neue"/>
          <w:color w:val="2D3B45"/>
        </w:rPr>
        <w:t>, “Negotiation, Information Technology, and the Problem of the Faceless Other.”  </w:t>
      </w:r>
      <w:r>
        <w:rPr>
          <w:rStyle w:val="Emphasis"/>
          <w:rFonts w:ascii="Helvetica Neue" w:hAnsi="Helvetica Neue"/>
          <w:color w:val="2D3B45"/>
        </w:rPr>
        <w:t>Negotiation Theory and Research</w:t>
      </w:r>
      <w:r>
        <w:rPr>
          <w:rFonts w:ascii="Helvetica Neue" w:hAnsi="Helvetica Neue"/>
          <w:color w:val="2D3B45"/>
        </w:rPr>
        <w:t>, 2006, pp. 145-172</w:t>
      </w:r>
    </w:p>
    <w:p w:rsidR="005C7452" w:rsidRDefault="005C7452" w:rsidP="005C7452">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Accessed at </w:t>
      </w:r>
      <w:hyperlink r:id="rId4" w:tgtFrame="_blank" w:history="1">
        <w:r>
          <w:rPr>
            <w:rStyle w:val="Hyperlink"/>
            <w:rFonts w:ascii="Helvetica Neue" w:hAnsi="Helvetica Neue"/>
          </w:rPr>
          <w:t>http://www.law.northwestern.edu/faculty/fulltime/nadler/Nadler_Shestowsky.pdf</w:t>
        </w:r>
        <w:r>
          <w:rPr>
            <w:rStyle w:val="screenreader-only"/>
            <w:rFonts w:ascii="Helvetica Neue" w:hAnsi="Helvetica Neue"/>
            <w:color w:val="0000FF"/>
            <w:u w:val="single"/>
            <w:bdr w:val="none" w:sz="0" w:space="0" w:color="auto" w:frame="1"/>
          </w:rPr>
          <w:t> (Links to an external site.)</w:t>
        </w:r>
      </w:hyperlink>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Cardenas, L. “Overcoming Cultural Barriers in Negotiations and the Importance of Communication in International Business Deals - Negotiating skills and techniques for handling counterparts from different cultural backgrounds during negotiations.” </w:t>
      </w:r>
      <w:r>
        <w:rPr>
          <w:rStyle w:val="Emphasis"/>
          <w:rFonts w:ascii="Helvetica Neue" w:hAnsi="Helvetica Neue"/>
          <w:color w:val="2D3B45"/>
        </w:rPr>
        <w:t>Harvard Law School Blog</w:t>
      </w:r>
      <w:r>
        <w:rPr>
          <w:rFonts w:ascii="Helvetica Neue" w:hAnsi="Helvetica Neue"/>
          <w:color w:val="2D3B45"/>
        </w:rPr>
        <w:t>, May 14, 2020</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Video: Jeanne Brett: Secrets of Cross-Cultural Communication. July 31, 2015 - 4:39</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5C7452" w:rsidRDefault="005C7452">
      <w:r>
        <w:t>Discussion #1</w:t>
      </w:r>
    </w:p>
    <w:p w:rsidR="005C7452" w:rsidRDefault="005C7452" w:rsidP="005C7452">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Negotiators from different cultures reach agreement in different ways.  Based on your reading of Sebenius and others (and your own experience), what have you learned about how different cultures come to agreement?</w:t>
      </w:r>
    </w:p>
    <w:p w:rsidR="005C7452" w:rsidRDefault="005C7452" w:rsidP="005C7452">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How would you use this information, and the advice from Hernández and Graham on preparation and planning in this week's reading, to prepare to lead or negotiate across cultures (virtually or face-to-face)?</w:t>
      </w:r>
    </w:p>
    <w:p w:rsidR="005C7452" w:rsidRDefault="005C7452"/>
    <w:p w:rsidR="005C7452" w:rsidRDefault="005C7452" w:rsidP="005C7452">
      <w:pPr>
        <w:pStyle w:val="NormalWeb"/>
        <w:shd w:val="clear" w:color="auto" w:fill="FFFFFF"/>
        <w:spacing w:before="180" w:beforeAutospacing="0" w:after="180" w:afterAutospacing="0"/>
        <w:rPr>
          <w:rFonts w:ascii="Helvetica Neue" w:hAnsi="Helvetica Neue"/>
          <w:color w:val="2D3B45"/>
        </w:rPr>
      </w:pPr>
    </w:p>
    <w:p w:rsidR="005C7452" w:rsidRPr="005C7452" w:rsidRDefault="005C7452" w:rsidP="005C7452">
      <w:pPr>
        <w:pStyle w:val="NormalWeb"/>
        <w:shd w:val="clear" w:color="auto" w:fill="FFFFFF"/>
        <w:spacing w:before="180" w:beforeAutospacing="0" w:after="180" w:afterAutospacing="0"/>
        <w:rPr>
          <w:rFonts w:ascii="Helvetica Neue" w:hAnsi="Helvetica Neue"/>
          <w:b/>
          <w:bCs/>
          <w:color w:val="2D3B45"/>
        </w:rPr>
      </w:pPr>
      <w:r w:rsidRPr="005C7452">
        <w:rPr>
          <w:rFonts w:ascii="Helvetica Neue" w:hAnsi="Helvetica Neue"/>
          <w:b/>
          <w:bCs/>
          <w:color w:val="2D3B45"/>
        </w:rPr>
        <w:t>Hello Sheila,</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One of the main takeaways that I got from the reading was that you need to be sure you are dealing with the appropriate person that will have the authority to make the decision.  But it appears that, depending on what culture you are from, you might not bring all of those people to the table.  Sebenius (2002) recommends ‘Mapping the Players and the Process’.  Use this time to figure out who the players are and which of them are actually responsible for making the decisions you are after. “Even if you know who’s playing, a failure to understand each player’s role—and who owns which decisions—can be very costly.”  Learn as much as you possibly can about the other people so that you can have a better understanding of how you will reach an agreement together.</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 xml:space="preserve">Hernández and Graham touch on this as well when they lay out the ‘THE CONCERT OF “THREE PRIORITIES”.  The three priorities being: planning, preparation, and process design.  They also stress the importance of fully understanding the situation you are involved, and the people involved in it with you.  Many dynamics to consider.  According to Hernández and Graham (2008) “It is only common sense to learn as much as possible about the potential client or partner before negotiations begin” (p. 139).  Because most other cultures suggest an importance in a relationship, it is important to take the time to build that trust.  Also, important to keep in mind, you will continue to confirm your facts </w:t>
      </w:r>
      <w:proofErr w:type="spellStart"/>
      <w:r>
        <w:rPr>
          <w:rFonts w:ascii="Helvetica Neue" w:hAnsi="Helvetica Neue"/>
          <w:color w:val="2D3B45"/>
        </w:rPr>
        <w:t>through out</w:t>
      </w:r>
      <w:proofErr w:type="spellEnd"/>
      <w:r>
        <w:rPr>
          <w:rFonts w:ascii="Helvetica Neue" w:hAnsi="Helvetica Neue"/>
          <w:color w:val="2D3B45"/>
        </w:rPr>
        <w:t xml:space="preserve"> the process.  Hypothetically you might start to notice someone doesn’t have as much authority as you originally believed, it’s good to get that straightened out right away.</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From the reading, I came to understand the value of fully understanding who I was negotiating with. Not just who they are as a person, but their job description, how much authority they have, and the way their company makes decisions as a whole.  I would take the time to speak with others who have previous negotiating experience with that culture. What are the hang ups going to be?  One last thing I’d like to add about safely coming an agreement is to not pressure the other side.  It’s possible that they find that offensive and decide to back out.   </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References:</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proofErr w:type="spellStart"/>
      <w:r>
        <w:rPr>
          <w:rFonts w:ascii="Helvetica Neue" w:hAnsi="Helvetica Neue"/>
          <w:color w:val="2D3B45"/>
        </w:rPr>
        <w:t>Hernández-Requejo</w:t>
      </w:r>
      <w:proofErr w:type="spellEnd"/>
      <w:r>
        <w:rPr>
          <w:rFonts w:ascii="Helvetica Neue" w:hAnsi="Helvetica Neue"/>
          <w:color w:val="2D3B45"/>
        </w:rPr>
        <w:t>, W., &amp;amp; Graham, J. L. (2008). Global negotiation: The new rules. New York, NY: Palgrave Macmillan.</w:t>
      </w:r>
    </w:p>
    <w:p w:rsidR="005C7452" w:rsidRDefault="005C7452" w:rsidP="005C7452">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Sebenius, J. (2014, August 01). The Hidden Challenge of Cross-Border Negotiations. Retrieved July 27, 2020, from https://hbr.org/2002/03/the-hidden-challenge-of-cross-border-negotiations</w:t>
      </w:r>
    </w:p>
    <w:p w:rsidR="005C7452" w:rsidRDefault="005C7452"/>
    <w:p w:rsidR="005C7452" w:rsidRPr="005C7452" w:rsidRDefault="005C7452">
      <w:pPr>
        <w:rPr>
          <w:b/>
          <w:bCs/>
        </w:rPr>
      </w:pPr>
      <w:r w:rsidRPr="005C7452">
        <w:rPr>
          <w:b/>
          <w:bCs/>
        </w:rPr>
        <w:t>Reply to Luis,</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Hi Class,</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After reading this week's material, the concept of preparation becomes more and more apparent. Now, how you prepare will vary depending on the negotiators coming to the table, but you need to be prepare. This is important to understand because there may be other parties involved in the negotiation that may not be known, almost like having a duel "shadow negotiation." Besides two companies negotiating one another, you can have government entities, powerful families, the mafia, and so on run interference. By understanding how different cultures agree, you can mitigate the risk of a negotiation falling short. So, how would I use this information when dealing with negotiations from different cultures?  One of the ways is to develop an understanding before entering a negotiation. </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"Decision processes don't always come in pure forms such as top down or consensus. Some-times, they're less defined and don't require the agreement of every player but rather the support of a sufficient subset of players—a "winning coalition" that can </w:t>
      </w:r>
      <w:r>
        <w:rPr>
          <w:rFonts w:ascii="Helvetica Neue" w:hAnsi="Helvetica Neue"/>
          <w:color w:val="2D3B45"/>
        </w:rPr>
        <w:lastRenderedPageBreak/>
        <w:t>effectively pressure, sidestep, or override dissenters." (Sebenius, 2014) This concept of a coalition is mentioned in Global negotiation: The new rules. On page 153, reference is made to a Russian author who indicated, creating coalitions and meeting parties one by one before meeting as one yield better results. Now, to form a coalition, you need to understand the players. I would try to apply a method sports team employ, and that would be scouting. You need to spend some time gaining insights on the culture and determine the players, but this cannot be done quickly, this will take time. If you don't this, how would you know if someone wants to negotiate virtually or that they may have different rules for virtual vs. face to face? As a negotiator, I may have an agile mindset; however, speed can be costly in global dealings, which is why we need to be able to have awareness and the ability to identify gaps as we prepare for global negotiations. </w:t>
      </w:r>
    </w:p>
    <w:p w:rsidR="005C7452" w:rsidRDefault="005C7452" w:rsidP="005C7452">
      <w:pPr>
        <w:pStyle w:val="NormalWeb"/>
        <w:shd w:val="clear" w:color="auto" w:fill="FFFFFF"/>
        <w:spacing w:before="180" w:beforeAutospacing="0" w:after="180" w:afterAutospacing="0"/>
        <w:jc w:val="center"/>
        <w:rPr>
          <w:rFonts w:ascii="Helvetica Neue" w:hAnsi="Helvetica Neue"/>
          <w:color w:val="2D3B45"/>
        </w:rPr>
      </w:pPr>
      <w:r>
        <w:rPr>
          <w:rFonts w:ascii="Helvetica Neue" w:hAnsi="Helvetica Neue"/>
          <w:color w:val="2D3B45"/>
        </w:rPr>
        <w:t>Reference</w:t>
      </w:r>
    </w:p>
    <w:p w:rsidR="005C7452" w:rsidRDefault="005C7452" w:rsidP="005C7452">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Sebenius, J. (2014, August 01). The Hidden Challenge of Cross-Border Negotiations. Retrieved July 28, 2020, from </w:t>
      </w:r>
      <w:hyperlink r:id="rId5" w:tgtFrame="_blank" w:history="1">
        <w:r>
          <w:rPr>
            <w:rStyle w:val="Hyperlink"/>
            <w:rFonts w:ascii="Helvetica Neue" w:hAnsi="Helvetica Neue"/>
          </w:rPr>
          <w:t>https://hbr.org/2002/03/the-hidden-challenge-of-cross-border-negotiations</w:t>
        </w:r>
        <w:r>
          <w:rPr>
            <w:rStyle w:val="screenreader-only"/>
            <w:rFonts w:ascii="Helvetica Neue" w:hAnsi="Helvetica Neue"/>
            <w:color w:val="0000FF"/>
            <w:u w:val="single"/>
            <w:bdr w:val="none" w:sz="0" w:space="0" w:color="auto" w:frame="1"/>
          </w:rPr>
          <w:t> (Links to an external site.)</w:t>
        </w:r>
      </w:hyperlink>
    </w:p>
    <w:p w:rsidR="005C7452" w:rsidRDefault="005C7452" w:rsidP="005C7452">
      <w:pPr>
        <w:pStyle w:val="NormalWeb"/>
        <w:shd w:val="clear" w:color="auto" w:fill="FFFFFF"/>
        <w:spacing w:before="180" w:beforeAutospacing="0" w:after="0" w:afterAutospacing="0"/>
        <w:rPr>
          <w:rFonts w:ascii="Helvetica Neue" w:hAnsi="Helvetica Neue"/>
          <w:color w:val="2D3B45"/>
        </w:rPr>
      </w:pPr>
      <w:proofErr w:type="spellStart"/>
      <w:r>
        <w:rPr>
          <w:rFonts w:ascii="Helvetica Neue" w:hAnsi="Helvetica Neue"/>
          <w:color w:val="2D3B45"/>
        </w:rPr>
        <w:t>Hernández-Requejo</w:t>
      </w:r>
      <w:proofErr w:type="spellEnd"/>
      <w:r>
        <w:rPr>
          <w:rFonts w:ascii="Helvetica Neue" w:hAnsi="Helvetica Neue"/>
          <w:color w:val="2D3B45"/>
        </w:rPr>
        <w:t>, W., &amp; Graham, J. L. (2008). </w:t>
      </w:r>
      <w:r>
        <w:rPr>
          <w:rFonts w:ascii="Helvetica Neue" w:hAnsi="Helvetica Neue"/>
          <w:i/>
          <w:iCs/>
          <w:color w:val="2D3B45"/>
        </w:rPr>
        <w:t>Global negotiation: The new rules</w:t>
      </w:r>
      <w:r>
        <w:rPr>
          <w:rFonts w:ascii="Helvetica Neue" w:hAnsi="Helvetica Neue"/>
          <w:color w:val="2D3B45"/>
        </w:rPr>
        <w:t>. New York, NY: Palgrave Macmillan.</w:t>
      </w:r>
    </w:p>
    <w:p w:rsidR="005C7452" w:rsidRDefault="005C7452"/>
    <w:p w:rsidR="005C7452" w:rsidRDefault="005C7452"/>
    <w:p w:rsidR="005C7452" w:rsidRDefault="005C7452">
      <w:r>
        <w:t>Discussion 5 #2</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Nadler and </w:t>
      </w:r>
      <w:proofErr w:type="spellStart"/>
      <w:r>
        <w:rPr>
          <w:rFonts w:ascii="Helvetica Neue" w:hAnsi="Helvetica Neue"/>
          <w:color w:val="2D3B45"/>
        </w:rPr>
        <w:t>Shestowsky</w:t>
      </w:r>
      <w:proofErr w:type="spellEnd"/>
      <w:r>
        <w:rPr>
          <w:rFonts w:ascii="Helvetica Neue" w:hAnsi="Helvetica Neue"/>
          <w:color w:val="2D3B45"/>
        </w:rPr>
        <w:t>, Meyer, and the authors of the PON blog post in this week's reading share some evidence and advice for dealing with communication across cultures when working virtually (integrating technology).  There is a lot of research and good ideas to sift through.</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What are 1 or 2 of the most interesting pieces of advice for managing virtual cross-cultural communication challenges, and what makes them stand out to you?  </w:t>
      </w:r>
    </w:p>
    <w:p w:rsidR="005C7452" w:rsidRDefault="005C7452"/>
    <w:p w:rsidR="005C7452" w:rsidRDefault="005C7452">
      <w:r>
        <w:t>Reply to Joelle,</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Nadler and </w:t>
      </w:r>
      <w:proofErr w:type="spellStart"/>
      <w:r>
        <w:rPr>
          <w:rFonts w:ascii="Helvetica Neue" w:hAnsi="Helvetica Neue"/>
          <w:color w:val="2D3B45"/>
        </w:rPr>
        <w:t>Shestowsky</w:t>
      </w:r>
      <w:proofErr w:type="spellEnd"/>
      <w:r>
        <w:rPr>
          <w:rFonts w:ascii="Helvetica Neue" w:hAnsi="Helvetica Neue"/>
          <w:color w:val="2D3B45"/>
        </w:rPr>
        <w:t xml:space="preserve"> brought up many valuable insights in their writing on negotiating virtually. I also noticed throughout the article that different bits of what they were saying began to overlap with what has been discussed in our other readings; really emphasizing some points. For example, in </w:t>
      </w:r>
      <w:proofErr w:type="spellStart"/>
      <w:r>
        <w:rPr>
          <w:rFonts w:ascii="Helvetica Neue" w:hAnsi="Helvetica Neue"/>
          <w:color w:val="2D3B45"/>
        </w:rPr>
        <w:t>Gebbia’s</w:t>
      </w:r>
      <w:proofErr w:type="spellEnd"/>
      <w:r>
        <w:rPr>
          <w:rFonts w:ascii="Helvetica Neue" w:hAnsi="Helvetica Neue"/>
          <w:color w:val="2D3B45"/>
        </w:rPr>
        <w:t xml:space="preserve"> Ted Talk he stated that the more different someone is, the less we trust them. Nadler and </w:t>
      </w:r>
      <w:proofErr w:type="spellStart"/>
      <w:r>
        <w:rPr>
          <w:rFonts w:ascii="Helvetica Neue" w:hAnsi="Helvetica Neue"/>
          <w:color w:val="2D3B45"/>
        </w:rPr>
        <w:t>Shestowsky</w:t>
      </w:r>
      <w:proofErr w:type="spellEnd"/>
      <w:r>
        <w:rPr>
          <w:rFonts w:ascii="Helvetica Neue" w:hAnsi="Helvetica Neue"/>
          <w:color w:val="2D3B45"/>
        </w:rPr>
        <w:t xml:space="preserve"> stated similar views in that the less we know someone, the less likely we are to trust them. Highlighting that relationships are key component of negotiation and can influence our success as well.</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The first piece of advice that stood out to me was the concept of “unmasking” the person on the other side. The one thing about email is it often feels too impersonal, I think we become complacent due to it being viewed as “the point” of having email in </w:t>
      </w:r>
      <w:r>
        <w:rPr>
          <w:rFonts w:ascii="Helvetica Neue" w:hAnsi="Helvetica Neue"/>
          <w:color w:val="2D3B45"/>
        </w:rPr>
        <w:lastRenderedPageBreak/>
        <w:t>the first place. It is meant for communication without being in person or over the phone, having constant access. When it comes down to having a negotiation over email, it almost seems strange or not necessary to then attempt to create a relationship or establish a common ground as we’ve been taught it is not needed for such a medium; assuming the other person will feel the same. However, this article has highlighted the true power of relationship building and overall trust as it relates to negotiation. The example on the inmate game where even if those were not meeting face-to-face, they were asked to just imagine what would be said and how the negotiation could look led to just as much success as it would in person. Proving that even if you are not face-to-face, success is still possible, you just need to adjust your thinking and strategies, putting in more effort than is normally required when it comes to email. By taking the time to “schmooze” and call the person first for a quick phone call as an introduction or sending a few emails back and forth to establish commonality leads to greater benefit in the end for both parties.</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The second piece of advice that is somewhat tied to unmasking is the simple idea of adding a photo in your email. It makes you wonder “why didn’t I think of that?” because it is that easy to do. By breaking down some of the barriers of anonymity through adding your picture can allow for the other person to have a face to the name creating a better environment overall. Email is seen as one of the easier methods of communication where you can send quick messages and take care of business swiftly. Yet, being able to understand that email is not that convenient when it comes to negotiations is crucial. Although sometimes unavoidable, the preparation for a virtual negotiation, that often goes unaccounted for, is just as or even more so important than it is for a negotiation face-to-face.</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References:</w:t>
      </w:r>
    </w:p>
    <w:p w:rsidR="005C7452" w:rsidRDefault="005C7452" w:rsidP="005C7452">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u w:val="single"/>
        </w:rPr>
        <w:t xml:space="preserve">Joe </w:t>
      </w:r>
      <w:proofErr w:type="spellStart"/>
      <w:r>
        <w:rPr>
          <w:rFonts w:ascii="Helvetica Neue" w:hAnsi="Helvetica Neue"/>
          <w:color w:val="2D3B45"/>
          <w:u w:val="single"/>
        </w:rPr>
        <w:t>Gebbia</w:t>
      </w:r>
      <w:proofErr w:type="spellEnd"/>
      <w:r>
        <w:rPr>
          <w:rFonts w:ascii="Helvetica Neue" w:hAnsi="Helvetica Neue"/>
          <w:color w:val="2D3B45"/>
          <w:u w:val="single"/>
        </w:rPr>
        <w:t>: How Airbnb designs for trust. TED2016. Filmed February 2016, Vancouver, Canada </w:t>
      </w:r>
      <w:hyperlink r:id="rId6" w:tgtFrame="_blank" w:history="1">
        <w:r>
          <w:rPr>
            <w:rStyle w:val="Hyperlink"/>
            <w:rFonts w:ascii="Helvetica Neue" w:hAnsi="Helvetica Neue"/>
          </w:rPr>
          <w:t>https://www.ted.com/talks/joe_gebbia_how_airbnb_designs_for_trust</w:t>
        </w:r>
        <w:r>
          <w:rPr>
            <w:rStyle w:val="screenreader-only"/>
            <w:rFonts w:ascii="Helvetica Neue" w:hAnsi="Helvetica Neue"/>
            <w:color w:val="0000FF"/>
            <w:u w:val="single"/>
            <w:bdr w:val="none" w:sz="0" w:space="0" w:color="auto" w:frame="1"/>
          </w:rPr>
          <w:t> (Links to an external site.)</w:t>
        </w:r>
      </w:hyperlink>
    </w:p>
    <w:p w:rsidR="005C7452" w:rsidRDefault="005C7452" w:rsidP="005C7452">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Nadler, J. and D. </w:t>
      </w:r>
      <w:proofErr w:type="spellStart"/>
      <w:r>
        <w:rPr>
          <w:rFonts w:ascii="Helvetica Neue" w:hAnsi="Helvetica Neue"/>
          <w:color w:val="2D3B45"/>
        </w:rPr>
        <w:t>Shestowsky</w:t>
      </w:r>
      <w:proofErr w:type="spellEnd"/>
      <w:r>
        <w:rPr>
          <w:rFonts w:ascii="Helvetica Neue" w:hAnsi="Helvetica Neue"/>
          <w:color w:val="2D3B45"/>
        </w:rPr>
        <w:t>, “Negotiation, Information Technology, and the Problem of the Faceless Other.”  </w:t>
      </w:r>
      <w:r>
        <w:rPr>
          <w:rStyle w:val="Emphasis"/>
          <w:rFonts w:ascii="Helvetica Neue" w:hAnsi="Helvetica Neue"/>
          <w:color w:val="2D3B45"/>
        </w:rPr>
        <w:t>Negotiation Theory and Research</w:t>
      </w:r>
      <w:r>
        <w:rPr>
          <w:rFonts w:ascii="Helvetica Neue" w:hAnsi="Helvetica Neue"/>
          <w:color w:val="2D3B45"/>
        </w:rPr>
        <w:t>, 2006, pp. 145-172</w:t>
      </w:r>
    </w:p>
    <w:p w:rsidR="005C7452" w:rsidRDefault="005C7452"/>
    <w:p w:rsidR="005C7452" w:rsidRDefault="005C7452">
      <w:r>
        <w:t>Reply to Laura,</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The biggest overarching takeaway from this week’s readings regarding communication is that it needs to begin socially.  Social communication is the key to unlocking the cultural door and getting to a mutual agreement.  Whether you meet in person or connect virtually being vulnerable and sharing a piece of yourself with your counterpart and accepting a piece of them will go a long way in building a trusting relationship. Learning the fine art of “schmoozing” defined by Webster as the ability, “to chat in a friendly and persuasive manner especially so as to gain favor, business or </w:t>
      </w:r>
      <w:r>
        <w:rPr>
          <w:rFonts w:ascii="Helvetica Neue" w:hAnsi="Helvetica Neue"/>
          <w:color w:val="2D3B45"/>
        </w:rPr>
        <w:lastRenderedPageBreak/>
        <w:t>connections” will go a long way in unlocking the trust door in a cultural negotiation.  My grandmother always said, “a little sugar goes a long way” in reference to building a connection with someone.  Making that connection “feels” good, it starts to break down barriers, actual or perceived, and builds a foundation for a strong relationship.  This is a difficult ask for most U.S. based business people because we typically separate our personal and professional lives to the extent that we aren’t even engaged with our colleagues on social media never mind half way across the world.</w:t>
      </w:r>
    </w:p>
    <w:p w:rsidR="005C7452" w:rsidRDefault="005C7452" w:rsidP="005C745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Nadler and </w:t>
      </w:r>
      <w:proofErr w:type="spellStart"/>
      <w:r>
        <w:rPr>
          <w:rFonts w:ascii="Helvetica Neue" w:hAnsi="Helvetica Neue"/>
          <w:color w:val="2D3B45"/>
        </w:rPr>
        <w:t>Shestwosky</w:t>
      </w:r>
      <w:proofErr w:type="spellEnd"/>
      <w:r>
        <w:rPr>
          <w:rFonts w:ascii="Helvetica Neue" w:hAnsi="Helvetica Neue"/>
          <w:color w:val="2D3B45"/>
        </w:rPr>
        <w:t xml:space="preserve"> raised an interesting perspective on email negotiations citing, “people who are preparing to negotiate face to face expect to trust the other party more than people who are preparing to negotiate using email.” (154)  One of their studies concluded that email negotiators, successful or not, had little to no interest in a continued relationship whereas those who met face to face had at least some interest in additional meetings with the other party. In another study that involved schmoozing (or not) prior to an email negotiation the parties that engaged in schmoozing had better communication and cooperation from their counterparts and received more information </w:t>
      </w:r>
      <w:proofErr w:type="spellStart"/>
      <w:r>
        <w:rPr>
          <w:rFonts w:ascii="Helvetica Neue" w:hAnsi="Helvetica Neue"/>
          <w:color w:val="2D3B45"/>
        </w:rPr>
        <w:t>then</w:t>
      </w:r>
      <w:proofErr w:type="spellEnd"/>
      <w:r>
        <w:rPr>
          <w:rFonts w:ascii="Helvetica Neue" w:hAnsi="Helvetica Neue"/>
          <w:color w:val="2D3B45"/>
        </w:rPr>
        <w:t xml:space="preserve"> did the non-schmoozers.  There appears to be a much higher probability of interest sharing with schmoozing vs. non-schmoozing, a key factor in a successful negotiation, either virtually or in person. “This pattern of multiple-issue information sharing is necessary for negotiators to avoid impasse by recognizing numerous, mutually beneficial solutions in the negotiation.” (159) Communication in the form of getting to know your counterpart is essential regardless of the medium.</w:t>
      </w:r>
    </w:p>
    <w:p w:rsidR="005C7452" w:rsidRDefault="005C7452" w:rsidP="005C7452">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 xml:space="preserve">Nadler, J. and D. </w:t>
      </w:r>
      <w:proofErr w:type="spellStart"/>
      <w:r>
        <w:rPr>
          <w:rFonts w:ascii="Helvetica Neue" w:hAnsi="Helvetica Neue"/>
          <w:color w:val="2D3B45"/>
        </w:rPr>
        <w:t>Shestowsky</w:t>
      </w:r>
      <w:proofErr w:type="spellEnd"/>
      <w:r>
        <w:rPr>
          <w:rFonts w:ascii="Helvetica Neue" w:hAnsi="Helvetica Neue"/>
          <w:color w:val="2D3B45"/>
        </w:rPr>
        <w:t>, “Negotiation, Information Technology, and the Problem of the Faceless Other, June 2005 </w:t>
      </w:r>
      <w:hyperlink r:id="rId7" w:tgtFrame="_blank" w:history="1">
        <w:r>
          <w:rPr>
            <w:rStyle w:val="Hyperlink"/>
            <w:rFonts w:ascii="Helvetica Neue" w:hAnsi="Helvetica Neue"/>
          </w:rPr>
          <w:t>https://www.law.northwestern.edu/faculty/fulltime/nadler/Nadler_Shestowsky.pdf</w:t>
        </w:r>
        <w:r>
          <w:rPr>
            <w:rStyle w:val="screenreader-only"/>
            <w:rFonts w:ascii="Helvetica Neue" w:hAnsi="Helvetica Neue"/>
            <w:color w:val="0000FF"/>
            <w:u w:val="single"/>
            <w:bdr w:val="none" w:sz="0" w:space="0" w:color="auto" w:frame="1"/>
          </w:rPr>
          <w:t> (Links to an external site.)</w:t>
        </w:r>
      </w:hyperlink>
    </w:p>
    <w:p w:rsidR="005C7452" w:rsidRDefault="005C7452" w:rsidP="005C7452">
      <w:pPr>
        <w:pStyle w:val="NormalWeb"/>
        <w:shd w:val="clear" w:color="auto" w:fill="FFFFFF"/>
        <w:spacing w:before="180" w:beforeAutospacing="0" w:after="0" w:afterAutospacing="0"/>
        <w:rPr>
          <w:rFonts w:ascii="Helvetica Neue" w:hAnsi="Helvetica Neue"/>
          <w:color w:val="2D3B45"/>
        </w:rPr>
      </w:pPr>
      <w:hyperlink r:id="rId8" w:tgtFrame="_blank" w:history="1">
        <w:r>
          <w:rPr>
            <w:rStyle w:val="Hyperlink"/>
            <w:rFonts w:ascii="Helvetica Neue" w:hAnsi="Helvetica Neue"/>
          </w:rPr>
          <w:t>https://www.merriam-webster.com/dictionary</w:t>
        </w:r>
      </w:hyperlink>
    </w:p>
    <w:p w:rsidR="005C7452" w:rsidRDefault="005C7452"/>
    <w:sectPr w:rsidR="005C7452"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452"/>
    <w:rsid w:val="004E0E77"/>
    <w:rsid w:val="005C7452"/>
    <w:rsid w:val="0095295D"/>
    <w:rsid w:val="00AC1C5E"/>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FA8F2A"/>
  <w14:defaultImageDpi w14:val="32767"/>
  <w15:chartTrackingRefBased/>
  <w15:docId w15:val="{C4AC042E-6372-EA4A-8203-934D1D244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745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C7452"/>
    <w:rPr>
      <w:b/>
      <w:bCs/>
    </w:rPr>
  </w:style>
  <w:style w:type="character" w:styleId="Emphasis">
    <w:name w:val="Emphasis"/>
    <w:basedOn w:val="DefaultParagraphFont"/>
    <w:uiPriority w:val="20"/>
    <w:qFormat/>
    <w:rsid w:val="005C7452"/>
    <w:rPr>
      <w:i/>
      <w:iCs/>
    </w:rPr>
  </w:style>
  <w:style w:type="character" w:styleId="Hyperlink">
    <w:name w:val="Hyperlink"/>
    <w:basedOn w:val="DefaultParagraphFont"/>
    <w:uiPriority w:val="99"/>
    <w:semiHidden/>
    <w:unhideWhenUsed/>
    <w:rsid w:val="005C7452"/>
    <w:rPr>
      <w:color w:val="0000FF"/>
      <w:u w:val="single"/>
    </w:rPr>
  </w:style>
  <w:style w:type="character" w:customStyle="1" w:styleId="screenreader-only">
    <w:name w:val="screenreader-only"/>
    <w:basedOn w:val="DefaultParagraphFont"/>
    <w:rsid w:val="005C7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582800">
      <w:bodyDiv w:val="1"/>
      <w:marLeft w:val="0"/>
      <w:marRight w:val="0"/>
      <w:marTop w:val="0"/>
      <w:marBottom w:val="0"/>
      <w:divBdr>
        <w:top w:val="none" w:sz="0" w:space="0" w:color="auto"/>
        <w:left w:val="none" w:sz="0" w:space="0" w:color="auto"/>
        <w:bottom w:val="none" w:sz="0" w:space="0" w:color="auto"/>
        <w:right w:val="none" w:sz="0" w:space="0" w:color="auto"/>
      </w:divBdr>
    </w:div>
    <w:div w:id="417869134">
      <w:bodyDiv w:val="1"/>
      <w:marLeft w:val="0"/>
      <w:marRight w:val="0"/>
      <w:marTop w:val="0"/>
      <w:marBottom w:val="0"/>
      <w:divBdr>
        <w:top w:val="none" w:sz="0" w:space="0" w:color="auto"/>
        <w:left w:val="none" w:sz="0" w:space="0" w:color="auto"/>
        <w:bottom w:val="none" w:sz="0" w:space="0" w:color="auto"/>
        <w:right w:val="none" w:sz="0" w:space="0" w:color="auto"/>
      </w:divBdr>
    </w:div>
    <w:div w:id="778834133">
      <w:bodyDiv w:val="1"/>
      <w:marLeft w:val="0"/>
      <w:marRight w:val="0"/>
      <w:marTop w:val="0"/>
      <w:marBottom w:val="0"/>
      <w:divBdr>
        <w:top w:val="none" w:sz="0" w:space="0" w:color="auto"/>
        <w:left w:val="none" w:sz="0" w:space="0" w:color="auto"/>
        <w:bottom w:val="none" w:sz="0" w:space="0" w:color="auto"/>
        <w:right w:val="none" w:sz="0" w:space="0" w:color="auto"/>
      </w:divBdr>
    </w:div>
    <w:div w:id="1281955183">
      <w:bodyDiv w:val="1"/>
      <w:marLeft w:val="0"/>
      <w:marRight w:val="0"/>
      <w:marTop w:val="0"/>
      <w:marBottom w:val="0"/>
      <w:divBdr>
        <w:top w:val="none" w:sz="0" w:space="0" w:color="auto"/>
        <w:left w:val="none" w:sz="0" w:space="0" w:color="auto"/>
        <w:bottom w:val="none" w:sz="0" w:space="0" w:color="auto"/>
        <w:right w:val="none" w:sz="0" w:space="0" w:color="auto"/>
      </w:divBdr>
    </w:div>
    <w:div w:id="1373575765">
      <w:bodyDiv w:val="1"/>
      <w:marLeft w:val="0"/>
      <w:marRight w:val="0"/>
      <w:marTop w:val="0"/>
      <w:marBottom w:val="0"/>
      <w:divBdr>
        <w:top w:val="none" w:sz="0" w:space="0" w:color="auto"/>
        <w:left w:val="none" w:sz="0" w:space="0" w:color="auto"/>
        <w:bottom w:val="none" w:sz="0" w:space="0" w:color="auto"/>
        <w:right w:val="none" w:sz="0" w:space="0" w:color="auto"/>
      </w:divBdr>
    </w:div>
    <w:div w:id="1400640386">
      <w:bodyDiv w:val="1"/>
      <w:marLeft w:val="0"/>
      <w:marRight w:val="0"/>
      <w:marTop w:val="0"/>
      <w:marBottom w:val="0"/>
      <w:divBdr>
        <w:top w:val="none" w:sz="0" w:space="0" w:color="auto"/>
        <w:left w:val="none" w:sz="0" w:space="0" w:color="auto"/>
        <w:bottom w:val="none" w:sz="0" w:space="0" w:color="auto"/>
        <w:right w:val="none" w:sz="0" w:space="0" w:color="auto"/>
      </w:divBdr>
    </w:div>
    <w:div w:id="1739784439">
      <w:bodyDiv w:val="1"/>
      <w:marLeft w:val="0"/>
      <w:marRight w:val="0"/>
      <w:marTop w:val="0"/>
      <w:marBottom w:val="0"/>
      <w:divBdr>
        <w:top w:val="none" w:sz="0" w:space="0" w:color="auto"/>
        <w:left w:val="none" w:sz="0" w:space="0" w:color="auto"/>
        <w:bottom w:val="none" w:sz="0" w:space="0" w:color="auto"/>
        <w:right w:val="none" w:sz="0" w:space="0" w:color="auto"/>
      </w:divBdr>
    </w:div>
    <w:div w:id="1799451487">
      <w:bodyDiv w:val="1"/>
      <w:marLeft w:val="0"/>
      <w:marRight w:val="0"/>
      <w:marTop w:val="0"/>
      <w:marBottom w:val="0"/>
      <w:divBdr>
        <w:top w:val="none" w:sz="0" w:space="0" w:color="auto"/>
        <w:left w:val="none" w:sz="0" w:space="0" w:color="auto"/>
        <w:bottom w:val="none" w:sz="0" w:space="0" w:color="auto"/>
        <w:right w:val="none" w:sz="0" w:space="0" w:color="auto"/>
      </w:divBdr>
    </w:div>
    <w:div w:id="1905990730">
      <w:bodyDiv w:val="1"/>
      <w:marLeft w:val="0"/>
      <w:marRight w:val="0"/>
      <w:marTop w:val="0"/>
      <w:marBottom w:val="0"/>
      <w:divBdr>
        <w:top w:val="none" w:sz="0" w:space="0" w:color="auto"/>
        <w:left w:val="none" w:sz="0" w:space="0" w:color="auto"/>
        <w:bottom w:val="none" w:sz="0" w:space="0" w:color="auto"/>
        <w:right w:val="none" w:sz="0" w:space="0" w:color="auto"/>
      </w:divBdr>
    </w:div>
    <w:div w:id="209134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rriam-webster.com/dictionary" TargetMode="External"/><Relationship Id="rId3" Type="http://schemas.openxmlformats.org/officeDocument/2006/relationships/webSettings" Target="webSettings.xml"/><Relationship Id="rId7" Type="http://schemas.openxmlformats.org/officeDocument/2006/relationships/hyperlink" Target="https://www.law.northwestern.edu/faculty/fulltime/nadler/Nadler_Shestowsky.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joe_gebbia_how_airbnb_designs_for_trust" TargetMode="External"/><Relationship Id="rId5" Type="http://schemas.openxmlformats.org/officeDocument/2006/relationships/hyperlink" Target="https://hbr.org/2002/03/the-hidden-challenge-of-cross-border-negotiations" TargetMode="External"/><Relationship Id="rId10" Type="http://schemas.openxmlformats.org/officeDocument/2006/relationships/theme" Target="theme/theme1.xml"/><Relationship Id="rId4" Type="http://schemas.openxmlformats.org/officeDocument/2006/relationships/hyperlink" Target="http://www.law.northwestern.edu/faculty/fulltime/nadler/Nadler_Shestowsky.pdf"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1940</Words>
  <Characters>11060</Characters>
  <Application>Microsoft Office Word</Application>
  <DocSecurity>0</DocSecurity>
  <Lines>92</Lines>
  <Paragraphs>25</Paragraphs>
  <ScaleCrop>false</ScaleCrop>
  <Company/>
  <LinksUpToDate>false</LinksUpToDate>
  <CharactersWithSpaces>12975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2020-07-31T15:14:00Z</dcterms:created>
  <dcterms:modified xsi:type="dcterms:W3CDTF">2020-07-31T15:21:00Z</dcterms:modified>
</cp:coreProperties>
</file>